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sz w:val="44"/>
          <w:szCs w:val="44"/>
        </w:rPr>
      </w:pPr>
      <w:r w:rsidDel="00000000" w:rsidR="00000000" w:rsidRPr="00000000">
        <w:rPr>
          <w:b w:val="1"/>
          <w:sz w:val="44"/>
          <w:szCs w:val="44"/>
          <w:u w:val="single"/>
          <w:rtl w:val="0"/>
        </w:rPr>
        <w:t xml:space="preserve">ECOLOGIA E PEDOLOGIA</w:t>
      </w:r>
      <w:r w:rsidDel="00000000" w:rsidR="00000000" w:rsidRPr="00000000">
        <w:rPr>
          <w:rFonts w:ascii="Arial" w:cs="Arial" w:eastAsia="Arial" w:hAnsi="Arial"/>
          <w:sz w:val="44"/>
          <w:szCs w:val="44"/>
          <w:rtl w:val="0"/>
        </w:rPr>
        <w:t xml:space="preserve"> </w:t>
      </w:r>
    </w:p>
    <w:p w:rsidR="00000000" w:rsidDel="00000000" w:rsidP="00000000" w:rsidRDefault="00000000" w:rsidRPr="00000000" w14:paraId="00000002">
      <w:pPr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Classe </w:t>
      </w:r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1^ sez. A                                                                   </w:t>
      </w:r>
      <w:r w:rsidDel="00000000" w:rsidR="00000000" w:rsidRPr="00000000">
        <w:rPr>
          <w:rFonts w:ascii="Arial" w:cs="Arial" w:eastAsia="Arial" w:hAnsi="Arial"/>
          <w:rtl w:val="0"/>
        </w:rPr>
        <w:t xml:space="preserve">  </w:t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0"/>
          <w:szCs w:val="20"/>
          <w:u w:val="single"/>
          <w:rtl w:val="0"/>
        </w:rPr>
        <w:t xml:space="preserve">Unità di Apprendimento (UdA)_n° 1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0"/>
          <w:szCs w:val="20"/>
          <w:rtl w:val="0"/>
        </w:rPr>
        <w:t xml:space="preserve">: I caratteri delle realtà ambientali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U.D. n° 1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: l’ambiente, materia ed energia, geosistema ed ecosistema, habitat e nicchia ecologica;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sz w:val="20"/>
          <w:szCs w:val="20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U.D. n° 2: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i fattori abiotici che caratterizzano un ecosistema;</w:t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0"/>
          <w:szCs w:val="20"/>
        </w:rPr>
      </w:pPr>
      <w:bookmarkStart w:colFirst="0" w:colLast="0" w:name="_heading=h.30j0zll" w:id="1"/>
      <w:bookmarkEnd w:id="1"/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U.D. n° 3: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i fattori biotici che caratterizzano un ecosistema;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U.D. n° 4: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materia ed energia negli ecosistemi, i livelli trofici, la catena alimentare, le piramidi ecologiche;</w:t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U.D. n° 5: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Ecosistema e produttività, la legge dei fattori limitanti, i limiti alla produttività primaria;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sz w:val="20"/>
          <w:szCs w:val="20"/>
        </w:rPr>
      </w:pPr>
      <w:bookmarkStart w:colFirst="0" w:colLast="0" w:name="_heading=h.1fob9te" w:id="2"/>
      <w:bookmarkEnd w:id="2"/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U.D. n° 6: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I cicli biogeochimici del carbonio, ossigeno, azoto;</w:t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U.D. n° 6: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I cicli biogeochimici del fosforo, dello zolfo, dell’acqua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b w:val="1"/>
          <w:sz w:val="20"/>
          <w:szCs w:val="20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u w:val="single"/>
          <w:rtl w:val="0"/>
        </w:rPr>
        <w:t xml:space="preserve">Unità di Apprendimento (UdA)_ n° 2: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Le dinamiche degli ecosistemi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U.D. n° 1: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la comunità biologica ed i rapporti fra i viventi;</w:t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U.D. n° 2: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le successioni ecologiche e la biodiversità;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U.D. n° 3: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le popolazioni naturali e la loro dinamica;</w:t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U.D. n° 4: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gli equilibri biologici, stabilità, omeostasi, resistenza e resilienza, la rottura degli equilibri;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color w:val="ff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U.D. n° 5: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la tutela della biodiversità degli ecosistemi</w:t>
      </w:r>
      <w:r w:rsidDel="00000000" w:rsidR="00000000" w:rsidRPr="00000000">
        <w:rPr>
          <w:rFonts w:ascii="Arial" w:cs="Arial" w:eastAsia="Arial" w:hAnsi="Arial"/>
          <w:color w:val="ff0000"/>
          <w:sz w:val="20"/>
          <w:szCs w:val="20"/>
          <w:rtl w:val="0"/>
        </w:rPr>
        <w:t xml:space="preserve">.</w:t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color w:val="ff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0"/>
          <w:szCs w:val="20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u w:val="single"/>
          <w:rtl w:val="0"/>
        </w:rPr>
        <w:t xml:space="preserve">Unità di Apprendimento (UdA)_n° 3: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. Dagli ambienti naturali a quelli artificiali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U.D. n° 1: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i biomi acquatici e terrestri, il clima, i fattori climatici e gli elementi del clima;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U.D. n° 2: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Il terreno e le sue funzioni; </w:t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U.D. n° 3: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La classificazione dei climi, il clima in Italia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U.D. n° 4: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Gli habitat costieri, di acqua dolce, prativi, di foresta, rocciosi e di grotta;</w:t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U.D. n° 5: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l’agroecosistema, il biotopo e la biocenosi dell’agroecosistema, l’instabilità dell’agroecosistema;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U.D. n° 6: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l’agroecosistema ecocompatibile, l’agricoltura biologica, integrata, biodinamica.</w:t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u w:val="single"/>
          <w:rtl w:val="0"/>
        </w:rPr>
        <w:t xml:space="preserve">Unità di Apprendimento (UdA)_n°4: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 Inquinamento e sviluppo sostenibile </w:t>
      </w:r>
    </w:p>
    <w:p w:rsidR="00000000" w:rsidDel="00000000" w:rsidP="00000000" w:rsidRDefault="00000000" w:rsidRPr="00000000" w14:paraId="0000001D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U.D. n° 1: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i principali inquinanti dell’aria, l’effetto serra e sue possibili conseguenze;</w:t>
      </w:r>
    </w:p>
    <w:p w:rsidR="00000000" w:rsidDel="00000000" w:rsidP="00000000" w:rsidRDefault="00000000" w:rsidRPr="00000000" w14:paraId="0000001E">
      <w:pPr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U.D. n° 2: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i combustibili alternativi al petrolio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0"/>
          <w:szCs w:val="20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0"/>
          <w:szCs w:val="20"/>
          <w:rtl w:val="0"/>
        </w:rPr>
        <w:t xml:space="preserve">U.D. n° 3: 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la risorsa acqua, la potabilizzazione dall’acqua, come funziona un impianto di potabilizzazione;</w:t>
      </w:r>
    </w:p>
    <w:p w:rsidR="00000000" w:rsidDel="00000000" w:rsidP="00000000" w:rsidRDefault="00000000" w:rsidRPr="00000000" w14:paraId="00000020">
      <w:pPr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0"/>
          <w:szCs w:val="20"/>
          <w:rtl w:val="0"/>
        </w:rPr>
        <w:t xml:space="preserve">U.D. n° 4: 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le principali fonti di inquinamento delle acque, le azioni di tutela e depurazione;</w:t>
      </w:r>
    </w:p>
    <w:p w:rsidR="00000000" w:rsidDel="00000000" w:rsidP="00000000" w:rsidRDefault="00000000" w:rsidRPr="00000000" w14:paraId="00000021">
      <w:pPr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0"/>
          <w:szCs w:val="20"/>
          <w:rtl w:val="0"/>
        </w:rPr>
        <w:t xml:space="preserve">U.D. n° 5: 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cause di inquinamento delle acque sotterranee e influenza del terreno;</w:t>
      </w:r>
    </w:p>
    <w:p w:rsidR="00000000" w:rsidDel="00000000" w:rsidP="00000000" w:rsidRDefault="00000000" w:rsidRPr="00000000" w14:paraId="00000022">
      <w:pPr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0"/>
          <w:szCs w:val="20"/>
          <w:rtl w:val="0"/>
        </w:rPr>
        <w:t xml:space="preserve">U.D. n° 6: 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che cosa sono i rifiuti, la raccolta differenziata; </w:t>
      </w:r>
    </w:p>
    <w:p w:rsidR="00000000" w:rsidDel="00000000" w:rsidP="00000000" w:rsidRDefault="00000000" w:rsidRPr="00000000" w14:paraId="00000023">
      <w:pPr>
        <w:ind w:left="993" w:hanging="993"/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0"/>
          <w:szCs w:val="20"/>
          <w:rtl w:val="0"/>
        </w:rPr>
        <w:t xml:space="preserve">U.D. n° 7: 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il riciclo dei rifiuti, gli inceneritori o termovalorizzatori, struttura e gestione di una discarica, trattamenti alternativi dei rifiuti.</w:t>
      </w:r>
    </w:p>
    <w:sectPr>
      <w:headerReference r:id="rId7" w:type="default"/>
      <w:headerReference r:id="rId8" w:type="first"/>
      <w:pgSz w:h="16837" w:w="11905" w:orient="portrait"/>
      <w:pgMar w:bottom="851" w:top="851" w:left="1134" w:right="1134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omic Sans MS"/>
  <w:font w:name="Georgia"/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360" w:firstLine="0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0" distR="0" hidden="0" layoutInCell="1" locked="0" relativeHeight="0" simplePos="0">
              <wp:simplePos x="0" y="0"/>
              <wp:positionH relativeFrom="column">
                <wp:posOffset>6032500</wp:posOffset>
              </wp:positionH>
              <wp:positionV relativeFrom="paragraph">
                <wp:posOffset>0</wp:posOffset>
              </wp:positionV>
              <wp:extent cx="85725" cy="191770"/>
              <wp:effectExtent b="0" l="0" r="0" t="0"/>
              <wp:wrapSquare wrapText="bothSides" distB="0" distT="0" distL="0" distR="0"/>
              <wp:docPr id="2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5307900" y="3688878"/>
                        <a:ext cx="76200" cy="18224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both"/>
                            <w:textDirection w:val="btLr"/>
                          </w:pPr>
                          <w:r w:rsidDel="00000000" w:rsidR="00000000" w:rsidRPr="00000000">
                            <w:rPr>
                              <w:rFonts w:ascii="Times New Roman" w:cs="Times New Roman" w:eastAsia="Times New Roman" w:hAnsi="Times New Roman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4"/>
                              <w:vertAlign w:val="baseline"/>
                            </w:rPr>
                            <w:t xml:space="preserve"> PAGE 3</w:t>
                          </w:r>
                        </w:p>
                      </w:txbxContent>
                    </wps:txbx>
                    <wps:bodyPr anchorCtr="0" anchor="t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0" distR="0" hidden="0" layoutInCell="1" locked="0" relativeHeight="0" simplePos="0">
              <wp:simplePos x="0" y="0"/>
              <wp:positionH relativeFrom="column">
                <wp:posOffset>6032500</wp:posOffset>
              </wp:positionH>
              <wp:positionV relativeFrom="paragraph">
                <wp:posOffset>0</wp:posOffset>
              </wp:positionV>
              <wp:extent cx="85725" cy="191770"/>
              <wp:effectExtent b="0" l="0" r="0" t="0"/>
              <wp:wrapSquare wrapText="bothSides" distB="0" distT="0" distL="0" distR="0"/>
              <wp:docPr id="2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5725" cy="19177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ind w:left="0" w:firstLine="0"/>
    </w:pPr>
    <w:rPr>
      <w:rFonts w:ascii="Comic Sans MS" w:cs="Comic Sans MS" w:eastAsia="Comic Sans MS" w:hAnsi="Comic Sans MS"/>
      <w:sz w:val="36"/>
      <w:szCs w:val="36"/>
    </w:rPr>
  </w:style>
  <w:style w:type="paragraph" w:styleId="Heading3">
    <w:name w:val="heading 3"/>
    <w:basedOn w:val="Normal"/>
    <w:next w:val="Normal"/>
    <w:pPr>
      <w:keepNext w:val="1"/>
      <w:jc w:val="left"/>
    </w:pPr>
    <w:rPr>
      <w:rFonts w:ascii="Comic Sans MS" w:cs="Comic Sans MS" w:eastAsia="Comic Sans MS" w:hAnsi="Comic Sans MS"/>
      <w:u w:val="singl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spacing w:line="360" w:lineRule="auto"/>
      <w:ind w:left="0" w:firstLine="0"/>
      <w:jc w:val="center"/>
    </w:pPr>
    <w:rPr>
      <w:rFonts w:ascii="Comic Sans MS" w:cs="Comic Sans MS" w:eastAsia="Comic Sans MS" w:hAnsi="Comic Sans MS"/>
      <w:sz w:val="48"/>
      <w:szCs w:val="48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511C8E"/>
    <w:pPr>
      <w:suppressAutoHyphens w:val="1"/>
      <w:jc w:val="both"/>
    </w:pPr>
    <w:rPr>
      <w:rFonts w:ascii="Times New Roman" w:eastAsia="Times New Roman" w:hAnsi="Times New Roman"/>
      <w:sz w:val="24"/>
      <w:lang w:eastAsia="ar-SA"/>
    </w:rPr>
  </w:style>
  <w:style w:type="paragraph" w:styleId="Titolo2">
    <w:name w:val="heading 2"/>
    <w:basedOn w:val="Normale"/>
    <w:next w:val="Normale"/>
    <w:link w:val="Titolo2Carattere"/>
    <w:uiPriority w:val="99"/>
    <w:qFormat w:val="1"/>
    <w:rsid w:val="00511C8E"/>
    <w:pPr>
      <w:keepNext w:val="1"/>
      <w:numPr>
        <w:ilvl w:val="1"/>
        <w:numId w:val="1"/>
      </w:numPr>
      <w:outlineLvl w:val="1"/>
    </w:pPr>
    <w:rPr>
      <w:rFonts w:ascii="Comic Sans MS" w:hAnsi="Comic Sans MS"/>
      <w:sz w:val="36"/>
    </w:rPr>
  </w:style>
  <w:style w:type="paragraph" w:styleId="Titolo3">
    <w:name w:val="heading 3"/>
    <w:basedOn w:val="Normale"/>
    <w:next w:val="Normale"/>
    <w:link w:val="Titolo3Carattere"/>
    <w:uiPriority w:val="99"/>
    <w:qFormat w:val="1"/>
    <w:rsid w:val="00937C9A"/>
    <w:pPr>
      <w:keepNext w:val="1"/>
      <w:tabs>
        <w:tab w:val="num" w:pos="0"/>
      </w:tabs>
      <w:jc w:val="left"/>
      <w:outlineLvl w:val="2"/>
    </w:pPr>
    <w:rPr>
      <w:rFonts w:ascii="Comic Sans MS" w:hAnsi="Comic Sans MS"/>
      <w:u w:val="single"/>
    </w:rPr>
  </w:style>
  <w:style w:type="paragraph" w:styleId="Titolo5">
    <w:name w:val="heading 5"/>
    <w:basedOn w:val="Normale"/>
    <w:next w:val="Normale"/>
    <w:link w:val="Titolo5Carattere"/>
    <w:uiPriority w:val="99"/>
    <w:qFormat w:val="1"/>
    <w:rsid w:val="00511C8E"/>
    <w:pPr>
      <w:keepNext w:val="1"/>
      <w:numPr>
        <w:ilvl w:val="4"/>
        <w:numId w:val="1"/>
      </w:numPr>
      <w:spacing w:line="360" w:lineRule="auto"/>
      <w:jc w:val="center"/>
      <w:outlineLvl w:val="4"/>
    </w:pPr>
    <w:rPr>
      <w:rFonts w:ascii="Comic Sans MS" w:hAnsi="Comic Sans MS"/>
      <w:sz w:val="48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character" w:styleId="Titolo2Carattere" w:customStyle="1">
    <w:name w:val="Titolo 2 Carattere"/>
    <w:basedOn w:val="Carpredefinitoparagrafo"/>
    <w:link w:val="Titolo2"/>
    <w:uiPriority w:val="99"/>
    <w:locked w:val="1"/>
    <w:rsid w:val="00511C8E"/>
    <w:rPr>
      <w:rFonts w:ascii="Comic Sans MS" w:cs="Times New Roman" w:hAnsi="Comic Sans MS"/>
      <w:sz w:val="20"/>
      <w:szCs w:val="20"/>
      <w:lang w:bidi="ar-SA" w:eastAsia="ar-SA"/>
    </w:rPr>
  </w:style>
  <w:style w:type="character" w:styleId="Titolo3Carattere" w:customStyle="1">
    <w:name w:val="Titolo 3 Carattere"/>
    <w:basedOn w:val="Carpredefinitoparagrafo"/>
    <w:link w:val="Titolo3"/>
    <w:uiPriority w:val="99"/>
    <w:locked w:val="1"/>
    <w:rsid w:val="00937C9A"/>
    <w:rPr>
      <w:rFonts w:ascii="Comic Sans MS" w:cs="Times New Roman" w:hAnsi="Comic Sans MS"/>
      <w:sz w:val="20"/>
      <w:szCs w:val="20"/>
      <w:u w:val="single"/>
      <w:lang w:bidi="ar-SA" w:eastAsia="ar-SA"/>
    </w:rPr>
  </w:style>
  <w:style w:type="character" w:styleId="Titolo5Carattere" w:customStyle="1">
    <w:name w:val="Titolo 5 Carattere"/>
    <w:basedOn w:val="Carpredefinitoparagrafo"/>
    <w:link w:val="Titolo5"/>
    <w:uiPriority w:val="99"/>
    <w:locked w:val="1"/>
    <w:rsid w:val="00511C8E"/>
    <w:rPr>
      <w:rFonts w:ascii="Comic Sans MS" w:cs="Times New Roman" w:hAnsi="Comic Sans MS"/>
      <w:sz w:val="20"/>
      <w:szCs w:val="20"/>
      <w:lang w:bidi="ar-SA" w:eastAsia="ar-SA"/>
    </w:rPr>
  </w:style>
  <w:style w:type="character" w:styleId="Numeropagina">
    <w:name w:val="page number"/>
    <w:basedOn w:val="Carpredefinitoparagrafo"/>
    <w:uiPriority w:val="99"/>
    <w:rsid w:val="00511C8E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511C8E"/>
    <w:rPr>
      <w:rFonts w:ascii="Times New Roman" w:cs="Times New Roman" w:hAnsi="Times New Roman"/>
      <w:color w:val="0000ff"/>
      <w:spacing w:val="0"/>
      <w:sz w:val="20"/>
      <w:u w:val="single"/>
      <w:lang w:val="it-IT"/>
    </w:rPr>
  </w:style>
  <w:style w:type="paragraph" w:styleId="Corpotesto">
    <w:name w:val="Body Text"/>
    <w:basedOn w:val="Normale"/>
    <w:link w:val="CorpotestoCarattere"/>
    <w:uiPriority w:val="99"/>
    <w:rsid w:val="00511C8E"/>
    <w:pPr>
      <w:spacing w:line="360" w:lineRule="auto"/>
    </w:pPr>
    <w:rPr>
      <w:i w:val="1"/>
      <w:sz w:val="26"/>
    </w:rPr>
  </w:style>
  <w:style w:type="character" w:styleId="CorpotestoCarattere" w:customStyle="1">
    <w:name w:val="Corpo testo Carattere"/>
    <w:basedOn w:val="Carpredefinitoparagrafo"/>
    <w:link w:val="Corpotesto"/>
    <w:uiPriority w:val="99"/>
    <w:locked w:val="1"/>
    <w:rsid w:val="00511C8E"/>
    <w:rPr>
      <w:rFonts w:ascii="Times New Roman" w:cs="Times New Roman" w:hAnsi="Times New Roman"/>
      <w:i w:val="1"/>
      <w:sz w:val="20"/>
      <w:szCs w:val="20"/>
      <w:lang w:bidi="ar-SA" w:eastAsia="ar-SA"/>
    </w:rPr>
  </w:style>
  <w:style w:type="paragraph" w:styleId="Intestazione">
    <w:name w:val="header"/>
    <w:basedOn w:val="Normale"/>
    <w:link w:val="IntestazioneCarattere"/>
    <w:uiPriority w:val="99"/>
    <w:rsid w:val="00511C8E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basedOn w:val="Carpredefinitoparagrafo"/>
    <w:link w:val="Intestazione"/>
    <w:uiPriority w:val="99"/>
    <w:locked w:val="1"/>
    <w:rsid w:val="00511C8E"/>
    <w:rPr>
      <w:rFonts w:ascii="Times New Roman" w:cs="Times New Roman" w:hAnsi="Times New Roman"/>
      <w:sz w:val="20"/>
      <w:szCs w:val="20"/>
      <w:lang w:bidi="ar-SA" w:eastAsia="ar-SA"/>
    </w:rPr>
  </w:style>
  <w:style w:type="paragraph" w:styleId="Indirizzomittente">
    <w:name w:val="envelope return"/>
    <w:basedOn w:val="Normale"/>
    <w:uiPriority w:val="99"/>
    <w:rsid w:val="00511C8E"/>
    <w:rPr>
      <w:rFonts w:ascii="Arial" w:hAnsi="Arial"/>
      <w:sz w:val="20"/>
    </w:rPr>
  </w:style>
  <w:style w:type="paragraph" w:styleId="Testofumetto">
    <w:name w:val="Balloon Text"/>
    <w:basedOn w:val="Normale"/>
    <w:link w:val="TestofumettoCarattere"/>
    <w:uiPriority w:val="99"/>
    <w:semiHidden w:val="1"/>
    <w:rsid w:val="00511C8E"/>
    <w:rPr>
      <w:rFonts w:ascii="Tahoma" w:cs="Tahoma" w:hAnsi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locked w:val="1"/>
    <w:rsid w:val="00511C8E"/>
    <w:rPr>
      <w:rFonts w:ascii="Tahoma" w:cs="Tahoma" w:hAnsi="Tahoma"/>
      <w:sz w:val="16"/>
      <w:szCs w:val="16"/>
      <w:lang w:bidi="ar-SA" w:eastAsia="ar-SA"/>
    </w:rPr>
  </w:style>
  <w:style w:type="paragraph" w:styleId="Paragrafoelenco">
    <w:name w:val="List Paragraph"/>
    <w:basedOn w:val="Normale"/>
    <w:uiPriority w:val="34"/>
    <w:qFormat w:val="1"/>
    <w:rsid w:val="00353F62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NqeiYLmSbEds+qJAdIUOcDRKcIg==">AMUW2mXg16Ff2ogcRrirKAzGoX56mibmX45jzKVqd5EoI5dERzrbjMBrqJKyEz0rugU4FS+1bcdELSQdi/sLoqppZHhfzbvHFXjLfa54x+fuzGY7cuRCk7fc9M2EBSs9tbPxcmFIiaXlzj0AC74Vh8GSTwJu6867Yw==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2019-10-22T06:32:00Z</dcterms:created>
  <dc:creator>PC Client</dc:creator>
</cp:coreProperties>
</file>