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PROGRAMMA Laboratorio tecnologico ed esercitazioni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0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18"/>
        <w:gridCol w:w="2370"/>
        <w:gridCol w:w="2444"/>
        <w:gridCol w:w="2274"/>
        <w:tblGridChange w:id="0">
          <w:tblGrid>
            <w:gridCol w:w="2518"/>
            <w:gridCol w:w="2370"/>
            <w:gridCol w:w="2444"/>
            <w:gridCol w:w="227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Moduli</w:t>
            </w:r>
          </w:p>
          <w:p w:rsidR="00000000" w:rsidDel="00000000" w:rsidP="00000000" w:rsidRDefault="00000000" w:rsidRPr="00000000" w14:paraId="00000008">
            <w:pPr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(Titolo/numero)</w:t>
            </w:r>
          </w:p>
          <w:p w:rsidR="00000000" w:rsidDel="00000000" w:rsidP="00000000" w:rsidRDefault="00000000" w:rsidRPr="00000000" w14:paraId="0000000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CONOSCENZE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ABILITÀ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COMPETENZE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MODULO 1</w:t>
            </w:r>
          </w:p>
          <w:p w:rsidR="00000000" w:rsidDel="00000000" w:rsidP="00000000" w:rsidRDefault="00000000" w:rsidRPr="00000000" w14:paraId="0000000E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Norme di primo soccorso in laboratorio e strumentazione di laboratorio</w:t>
            </w:r>
          </w:p>
          <w:p w:rsidR="00000000" w:rsidDel="00000000" w:rsidP="00000000" w:rsidRDefault="00000000" w:rsidRPr="00000000" w14:paraId="00000010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 Tempi:  Settembre – Ottobre</w:t>
            </w:r>
          </w:p>
          <w:p w:rsidR="00000000" w:rsidDel="00000000" w:rsidP="00000000" w:rsidRDefault="00000000" w:rsidRPr="00000000" w14:paraId="00000012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Vetreria da laboratorio</w:t>
            </w:r>
          </w:p>
          <w:p w:rsidR="00000000" w:rsidDel="00000000" w:rsidP="00000000" w:rsidRDefault="00000000" w:rsidRPr="00000000" w14:paraId="00000022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-Norme di comportamento</w:t>
            </w:r>
          </w:p>
          <w:p w:rsidR="00000000" w:rsidDel="00000000" w:rsidP="00000000" w:rsidRDefault="00000000" w:rsidRPr="00000000" w14:paraId="00000026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-Sicurezza nell'uso delle sostanze chimiche</w:t>
            </w:r>
          </w:p>
          <w:p w:rsidR="00000000" w:rsidDel="00000000" w:rsidP="00000000" w:rsidRDefault="00000000" w:rsidRPr="00000000" w14:paraId="00000027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tossici.</w:t>
            </w:r>
          </w:p>
          <w:p w:rsidR="00000000" w:rsidDel="00000000" w:rsidP="00000000" w:rsidRDefault="00000000" w:rsidRPr="00000000" w14:paraId="00000028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-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Conoscere la simbologia di sicurezza dei prodotti chimici.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Conoscere la cappa aspirante e la cappa a flusso laminare orizzontale e verticale,</w:t>
            </w:r>
          </w:p>
          <w:p w:rsidR="00000000" w:rsidDel="00000000" w:rsidP="00000000" w:rsidRDefault="00000000" w:rsidRPr="00000000" w14:paraId="0000002A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bilancia tecnica e analitica</w:t>
            </w:r>
          </w:p>
          <w:p w:rsidR="00000000" w:rsidDel="00000000" w:rsidP="00000000" w:rsidRDefault="00000000" w:rsidRPr="00000000" w14:paraId="0000002B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Bunsen, autoclave, microscopio ottico e stereomicroscopio</w:t>
            </w:r>
          </w:p>
          <w:p w:rsidR="00000000" w:rsidDel="00000000" w:rsidP="00000000" w:rsidRDefault="00000000" w:rsidRPr="00000000" w14:paraId="0000002C">
            <w:pPr>
              <w:jc w:val="lef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lef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lef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lef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lef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lef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lef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lef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lef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lef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left"/>
              <w:rPr>
                <w:rFonts w:ascii="Arial" w:cs="Arial" w:eastAsia="Arial" w:hAnsi="Arial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Beute, palloni tarati, provette,burette, pipette,cilindri graduati, scatola petri, ecc.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Riconoscere ed interpretare i simboli di pericolosità dei</w:t>
            </w:r>
          </w:p>
          <w:p w:rsidR="00000000" w:rsidDel="00000000" w:rsidP="00000000" w:rsidRDefault="00000000" w:rsidRPr="00000000" w14:paraId="00000038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reagenti e le fasi di rischio. presenti sulle etichette dei</w:t>
            </w:r>
          </w:p>
          <w:p w:rsidR="00000000" w:rsidDel="00000000" w:rsidP="00000000" w:rsidRDefault="00000000" w:rsidRPr="00000000" w14:paraId="00000039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materiali per un loro utilizzo sicuro.</w:t>
            </w:r>
          </w:p>
          <w:p w:rsidR="00000000" w:rsidDel="00000000" w:rsidP="00000000" w:rsidRDefault="00000000" w:rsidRPr="00000000" w14:paraId="0000003A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Acquisire familiarità con le attrezzature di laboratorio</w:t>
            </w:r>
          </w:p>
          <w:p w:rsidR="00000000" w:rsidDel="00000000" w:rsidP="00000000" w:rsidRDefault="00000000" w:rsidRPr="00000000" w14:paraId="0000003B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Riconoscere l’importanza delle operazioni di misura per</w:t>
            </w:r>
          </w:p>
          <w:p w:rsidR="00000000" w:rsidDel="00000000" w:rsidP="00000000" w:rsidRDefault="00000000" w:rsidRPr="00000000" w14:paraId="0000003C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effettuare indagini quantitative.</w:t>
            </w:r>
          </w:p>
          <w:p w:rsidR="00000000" w:rsidDel="00000000" w:rsidP="00000000" w:rsidRDefault="00000000" w:rsidRPr="00000000" w14:paraId="0000003D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Conoscere i principali tipi di misura (diretta e indiretta).</w:t>
            </w:r>
          </w:p>
          <w:p w:rsidR="00000000" w:rsidDel="00000000" w:rsidP="00000000" w:rsidRDefault="00000000" w:rsidRPr="00000000" w14:paraId="0000003E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Distinguere caratteristiche di uno strumento di misura</w:t>
            </w:r>
          </w:p>
          <w:p w:rsidR="00000000" w:rsidDel="00000000" w:rsidP="00000000" w:rsidRDefault="00000000" w:rsidRPr="00000000" w14:paraId="0000003F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(portata e sensibilità)</w:t>
            </w:r>
          </w:p>
          <w:p w:rsidR="00000000" w:rsidDel="00000000" w:rsidP="00000000" w:rsidRDefault="00000000" w:rsidRPr="00000000" w14:paraId="00000040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Osservare e descrivere un sistema utilizzando un</w:t>
            </w:r>
          </w:p>
          <w:p w:rsidR="00000000" w:rsidDel="00000000" w:rsidP="00000000" w:rsidRDefault="00000000" w:rsidRPr="00000000" w14:paraId="00000041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linguaggio scientificamente corretto.</w:t>
            </w:r>
          </w:p>
          <w:p w:rsidR="00000000" w:rsidDel="00000000" w:rsidP="00000000" w:rsidRDefault="00000000" w:rsidRPr="00000000" w14:paraId="00000042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Saper utilizzare la vetreria</w:t>
            </w:r>
          </w:p>
          <w:p w:rsidR="00000000" w:rsidDel="00000000" w:rsidP="00000000" w:rsidRDefault="00000000" w:rsidRPr="00000000" w14:paraId="00000045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per misurare esattamente i volumi dei liquidi</w:t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conoscere le norme che disciplinano       il comportamento   nel laboratorio.</w:t>
            </w:r>
          </w:p>
          <w:p w:rsidR="00000000" w:rsidDel="00000000" w:rsidP="00000000" w:rsidRDefault="00000000" w:rsidRPr="00000000" w14:paraId="00000047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Conoscere la simbologia di sicurezza dei prodotti chimici;</w:t>
            </w:r>
          </w:p>
          <w:p w:rsidR="00000000" w:rsidDel="00000000" w:rsidP="00000000" w:rsidRDefault="00000000" w:rsidRPr="00000000" w14:paraId="00000048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conoscere e saper utilizzare il microscopio</w:t>
            </w:r>
          </w:p>
          <w:p w:rsidR="00000000" w:rsidDel="00000000" w:rsidP="00000000" w:rsidRDefault="00000000" w:rsidRPr="00000000" w14:paraId="00000049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Saper scegliere lo strumento più idoneo al lavoro assegnato</w:t>
            </w:r>
          </w:p>
          <w:p w:rsidR="00000000" w:rsidDel="00000000" w:rsidP="00000000" w:rsidRDefault="00000000" w:rsidRPr="00000000" w14:paraId="0000004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Saper scegliere e utilizzare  la vetreria da laboratorio nelle ore  di esercitazioni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MODULO 2</w:t>
            </w:r>
          </w:p>
          <w:p w:rsidR="00000000" w:rsidDel="00000000" w:rsidP="00000000" w:rsidRDefault="00000000" w:rsidRPr="00000000" w14:paraId="00000058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Uso prodotti fitosanitari e principi di fitopatologia applicata</w:t>
            </w:r>
          </w:p>
          <w:p w:rsidR="00000000" w:rsidDel="00000000" w:rsidP="00000000" w:rsidRDefault="00000000" w:rsidRPr="00000000" w14:paraId="00000059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Tempi:   Novembre dicembre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-Riconoscere osservando  le principali tipologia di avversità</w:t>
              <w:br w:type="textWrapping"/>
              <w:t xml:space="preserve">-Conoscere ed applicare le norme tecniche dell'uso dei fitofarmaci</w:t>
            </w:r>
          </w:p>
          <w:p w:rsidR="00000000" w:rsidDel="00000000" w:rsidP="00000000" w:rsidRDefault="00000000" w:rsidRPr="00000000" w14:paraId="0000005C">
            <w:pPr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Guida all’impiego di prodotti fitosanitari in agricoltura:</w:t>
            </w:r>
          </w:p>
          <w:p w:rsidR="00000000" w:rsidDel="00000000" w:rsidP="00000000" w:rsidRDefault="00000000" w:rsidRPr="00000000" w14:paraId="0000005E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 1) formulazione e composizioni dei fitofarmaci;</w:t>
            </w:r>
          </w:p>
          <w:p w:rsidR="00000000" w:rsidDel="00000000" w:rsidP="00000000" w:rsidRDefault="00000000" w:rsidRPr="00000000" w14:paraId="0000005F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2) classificazioni dei prodotti in base alle proprietà tossicologiche; </w:t>
            </w:r>
          </w:p>
          <w:p w:rsidR="00000000" w:rsidDel="00000000" w:rsidP="00000000" w:rsidRDefault="00000000" w:rsidRPr="00000000" w14:paraId="00000060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4) scelta del presidio sanitario o fitofarmaco;</w:t>
            </w:r>
          </w:p>
          <w:p w:rsidR="00000000" w:rsidDel="00000000" w:rsidP="00000000" w:rsidRDefault="00000000" w:rsidRPr="00000000" w14:paraId="00000061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5) classificazioni dei “fitofarmaci” in base alla modalità d’azione; </w:t>
            </w:r>
          </w:p>
          <w:p w:rsidR="00000000" w:rsidDel="00000000" w:rsidP="00000000" w:rsidRDefault="00000000" w:rsidRPr="00000000" w14:paraId="00000062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6) caratteristiche dei fitofarmaci in base al campo d’azione e penetrazioni;</w:t>
            </w:r>
          </w:p>
          <w:p w:rsidR="00000000" w:rsidDel="00000000" w:rsidP="00000000" w:rsidRDefault="00000000" w:rsidRPr="00000000" w14:paraId="00000063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7) aspetti generali dei fitofarmaci”;</w:t>
            </w:r>
          </w:p>
          <w:p w:rsidR="00000000" w:rsidDel="00000000" w:rsidP="00000000" w:rsidRDefault="00000000" w:rsidRPr="00000000" w14:paraId="00000064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8) etichetta;</w:t>
            </w:r>
          </w:p>
          <w:p w:rsidR="00000000" w:rsidDel="00000000" w:rsidP="00000000" w:rsidRDefault="00000000" w:rsidRPr="00000000" w14:paraId="00000065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9) norme da eseguire prima durante e dopo l’utilizzo dei fitofarmaci;</w:t>
            </w:r>
          </w:p>
          <w:p w:rsidR="00000000" w:rsidDel="00000000" w:rsidP="00000000" w:rsidRDefault="00000000" w:rsidRPr="00000000" w14:paraId="00000066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10) attrezzature per i trattamenti;</w:t>
            </w:r>
          </w:p>
          <w:p w:rsidR="00000000" w:rsidDel="00000000" w:rsidP="00000000" w:rsidRDefault="00000000" w:rsidRPr="00000000" w14:paraId="00000067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11) i rischi tossicologici connessi all’uso dei fitofarmaci;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classificazione delle fitopatie principali patologie delle piante e loro riconoscimento</w:t>
              <w:br w:type="textWrapping"/>
              <w:t xml:space="preserve">uso delle sostanze per la difesa delle piante, e dosaggio dei vari prodotti fitosanitari</w:t>
              <w:br w:type="textWrapping"/>
              <w:t xml:space="preserve">classificazione dei fitofarmaci e caratteri principali dei fitofarmaci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- essere in grado di leggere ed interpretare le etichette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e scegliere i prodotti fitosanitari</w:t>
            </w: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br w:type="textWrapping"/>
              <w:t xml:space="preserve">- Saper dosare i vari tipi di interventi con fitofarmaci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C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MODULO 3</w:t>
            </w:r>
          </w:p>
          <w:p w:rsidR="00000000" w:rsidDel="00000000" w:rsidP="00000000" w:rsidRDefault="00000000" w:rsidRPr="00000000" w14:paraId="0000006D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Caratteristiche generali delle piante</w:t>
            </w:r>
          </w:p>
          <w:p w:rsidR="00000000" w:rsidDel="00000000" w:rsidP="00000000" w:rsidRDefault="00000000" w:rsidRPr="00000000" w14:paraId="0000006E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-Il sistema radicale.</w:t>
            </w:r>
          </w:p>
          <w:p w:rsidR="00000000" w:rsidDel="00000000" w:rsidP="00000000" w:rsidRDefault="00000000" w:rsidRPr="00000000" w14:paraId="0000006F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 Tempi:   Gennaio  </w:t>
            </w:r>
          </w:p>
        </w:tc>
        <w:tc>
          <w:tcPr/>
          <w:p w:rsidR="00000000" w:rsidDel="00000000" w:rsidP="00000000" w:rsidRDefault="00000000" w:rsidRPr="00000000" w14:paraId="00000071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Forma della pianta.</w:t>
            </w:r>
          </w:p>
          <w:p w:rsidR="00000000" w:rsidDel="00000000" w:rsidP="00000000" w:rsidRDefault="00000000" w:rsidRPr="00000000" w14:paraId="00000072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Forma delle radici.</w:t>
            </w:r>
          </w:p>
          <w:p w:rsidR="00000000" w:rsidDel="00000000" w:rsidP="00000000" w:rsidRDefault="00000000" w:rsidRPr="00000000" w14:paraId="00000073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Funzione della radice.</w:t>
            </w:r>
          </w:p>
          <w:p w:rsidR="00000000" w:rsidDel="00000000" w:rsidP="00000000" w:rsidRDefault="00000000" w:rsidRPr="00000000" w14:paraId="00000074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Metamorfosi della radice.</w:t>
            </w:r>
          </w:p>
          <w:p w:rsidR="00000000" w:rsidDel="00000000" w:rsidP="00000000" w:rsidRDefault="00000000" w:rsidRPr="00000000" w14:paraId="00000075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La struttura del sistema</w:t>
            </w:r>
          </w:p>
          <w:p w:rsidR="00000000" w:rsidDel="00000000" w:rsidP="00000000" w:rsidRDefault="00000000" w:rsidRPr="00000000" w14:paraId="00000077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radicale </w:t>
            </w:r>
          </w:p>
          <w:p w:rsidR="00000000" w:rsidDel="00000000" w:rsidP="00000000" w:rsidRDefault="00000000" w:rsidRPr="00000000" w14:paraId="00000078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Conoscere le funzioni principali della radice</w:t>
            </w:r>
          </w:p>
          <w:p w:rsidR="00000000" w:rsidDel="00000000" w:rsidP="00000000" w:rsidRDefault="00000000" w:rsidRPr="00000000" w14:paraId="00000079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conoscere i vari tipi di radici</w:t>
            </w:r>
          </w:p>
          <w:p w:rsidR="00000000" w:rsidDel="00000000" w:rsidP="00000000" w:rsidRDefault="00000000" w:rsidRPr="00000000" w14:paraId="0000007A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Saper riconoscere le parti che compongono la pianta</w:t>
            </w:r>
          </w:p>
          <w:p w:rsidR="00000000" w:rsidDel="00000000" w:rsidP="00000000" w:rsidRDefault="00000000" w:rsidRPr="00000000" w14:paraId="0000007C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-Distinguere i vari sistemi radicali</w:t>
            </w:r>
          </w:p>
          <w:p w:rsidR="00000000" w:rsidDel="00000000" w:rsidP="00000000" w:rsidRDefault="00000000" w:rsidRPr="00000000" w14:paraId="0000007D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rHeight w:val="2159" w:hRule="atLeast"/>
          <w:tblHeader w:val="0"/>
        </w:trPr>
        <w:tc>
          <w:tcPr/>
          <w:p w:rsidR="00000000" w:rsidDel="00000000" w:rsidP="00000000" w:rsidRDefault="00000000" w:rsidRPr="00000000" w14:paraId="0000007E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MODULO 4</w:t>
            </w:r>
          </w:p>
          <w:p w:rsidR="00000000" w:rsidDel="00000000" w:rsidP="00000000" w:rsidRDefault="00000000" w:rsidRPr="00000000" w14:paraId="0000007F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Il sistema del germoglio</w:t>
            </w:r>
          </w:p>
          <w:p w:rsidR="00000000" w:rsidDel="00000000" w:rsidP="00000000" w:rsidRDefault="00000000" w:rsidRPr="00000000" w14:paraId="00000080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Tempi: Febbraio -Marzo </w:t>
            </w:r>
          </w:p>
        </w:tc>
        <w:tc>
          <w:tcPr/>
          <w:p w:rsidR="00000000" w:rsidDel="00000000" w:rsidP="00000000" w:rsidRDefault="00000000" w:rsidRPr="00000000" w14:paraId="00000082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-La struttura della gemma </w:t>
            </w:r>
          </w:p>
          <w:p w:rsidR="00000000" w:rsidDel="00000000" w:rsidP="00000000" w:rsidRDefault="00000000" w:rsidRPr="00000000" w14:paraId="00000083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-Le caratteristiche del fusto e le sue trasformazioni</w:t>
            </w:r>
          </w:p>
          <w:p w:rsidR="00000000" w:rsidDel="00000000" w:rsidP="00000000" w:rsidRDefault="00000000" w:rsidRPr="00000000" w14:paraId="00000084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-La funzione di trasporto del fusto</w:t>
            </w:r>
          </w:p>
          <w:p w:rsidR="00000000" w:rsidDel="00000000" w:rsidP="00000000" w:rsidRDefault="00000000" w:rsidRPr="00000000" w14:paraId="00000085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-La struttura della foglia e le sue trasformazioni </w:t>
            </w:r>
          </w:p>
          <w:p w:rsidR="00000000" w:rsidDel="00000000" w:rsidP="00000000" w:rsidRDefault="00000000" w:rsidRPr="00000000" w14:paraId="00000086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-L funzioni della foglia: fotosintesi, respirazione e traspirazione</w:t>
            </w:r>
          </w:p>
        </w:tc>
        <w:tc>
          <w:tcPr/>
          <w:p w:rsidR="00000000" w:rsidDel="00000000" w:rsidP="00000000" w:rsidRDefault="00000000" w:rsidRPr="00000000" w14:paraId="00000087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conoscere i fusti di  piante arboree e erbacee</w:t>
            </w:r>
          </w:p>
          <w:p w:rsidR="00000000" w:rsidDel="00000000" w:rsidP="00000000" w:rsidRDefault="00000000" w:rsidRPr="00000000" w14:paraId="00000088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Conosce i fusti modificati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Conoscere le funzioni fondamentali della foglia.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Conoscere gli elementi principali della foglia.</w:t>
            </w:r>
          </w:p>
          <w:p w:rsidR="00000000" w:rsidDel="00000000" w:rsidP="00000000" w:rsidRDefault="00000000" w:rsidRPr="00000000" w14:paraId="0000008B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conoscere frutti carnosi e frutti secchi</w:t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Osservare in campo le forme dei fusti e delle foglie</w:t>
            </w:r>
          </w:p>
          <w:p w:rsidR="00000000" w:rsidDel="00000000" w:rsidP="00000000" w:rsidRDefault="00000000" w:rsidRPr="00000000" w14:paraId="0000008D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-Riconoscere i caratteri distintivi di fusto e foglie</w:t>
            </w:r>
          </w:p>
          <w:p w:rsidR="00000000" w:rsidDel="00000000" w:rsidP="00000000" w:rsidRDefault="00000000" w:rsidRPr="00000000" w14:paraId="0000008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MODULO 5</w:t>
            </w:r>
          </w:p>
          <w:p w:rsidR="00000000" w:rsidDel="00000000" w:rsidP="00000000" w:rsidRDefault="00000000" w:rsidRPr="00000000" w14:paraId="0000009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Il sistema riproduttivo</w:t>
            </w:r>
          </w:p>
          <w:p w:rsidR="00000000" w:rsidDel="00000000" w:rsidP="00000000" w:rsidRDefault="00000000" w:rsidRPr="00000000" w14:paraId="0000009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Tempi: Aprile- Maggio</w:t>
            </w:r>
          </w:p>
          <w:p w:rsidR="00000000" w:rsidDel="00000000" w:rsidP="00000000" w:rsidRDefault="00000000" w:rsidRPr="00000000" w14:paraId="0000009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-La struttura del fiore, del frutto e del seme</w:t>
            </w:r>
          </w:p>
          <w:p w:rsidR="00000000" w:rsidDel="00000000" w:rsidP="00000000" w:rsidRDefault="00000000" w:rsidRPr="00000000" w14:paraId="00000095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-I processi di fioritura, impollinazione, maturazione del frutto, disseminazione e germinazione</w:t>
            </w:r>
          </w:p>
          <w:p w:rsidR="00000000" w:rsidDel="00000000" w:rsidP="00000000" w:rsidRDefault="00000000" w:rsidRPr="00000000" w14:paraId="00000096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Conoscere la funzione del fiore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 Conoscere le parti che costituiscono il fiore.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-Conoscere le infiorescenze semplici e composte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-Conoscere le varie forme di impollinazione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A1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-Riconoscere i caratteri distintivi del fiore, del frutto e del seme</w:t>
            </w:r>
          </w:p>
          <w:p w:rsidR="00000000" w:rsidDel="00000000" w:rsidP="00000000" w:rsidRDefault="00000000" w:rsidRPr="00000000" w14:paraId="000000A2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-osservare al microscopio androceo, gineceo,seme e seguire la germinazione dei semi</w:t>
            </w:r>
          </w:p>
          <w:p w:rsidR="00000000" w:rsidDel="00000000" w:rsidP="00000000" w:rsidRDefault="00000000" w:rsidRPr="00000000" w14:paraId="000000A3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-Comprendere l’importanza dei frutti nell’alimentazione e del polline in relazione  alle allergie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4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Attività pratiche in azienda </w:t>
            </w:r>
          </w:p>
          <w:p w:rsidR="00000000" w:rsidDel="00000000" w:rsidP="00000000" w:rsidRDefault="00000000" w:rsidRPr="00000000" w14:paraId="000000A5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e in laboratorio di meristematica</w:t>
            </w:r>
          </w:p>
          <w:p w:rsidR="00000000" w:rsidDel="00000000" w:rsidP="00000000" w:rsidRDefault="00000000" w:rsidRPr="00000000" w14:paraId="000000A6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7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Attrezzature da lavoro (vanga,zappa, rastrello, forbici ecc.)</w:t>
            </w:r>
          </w:p>
          <w:p w:rsidR="00000000" w:rsidDel="00000000" w:rsidP="00000000" w:rsidRDefault="00000000" w:rsidRPr="00000000" w14:paraId="000000AA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Terricci, torba, perlite</w:t>
            </w:r>
          </w:p>
          <w:p w:rsidR="00000000" w:rsidDel="00000000" w:rsidP="00000000" w:rsidRDefault="00000000" w:rsidRPr="00000000" w14:paraId="000000AB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- Attrezzature da laboratorio e sostanze</w:t>
            </w:r>
          </w:p>
          <w:p w:rsidR="00000000" w:rsidDel="00000000" w:rsidP="00000000" w:rsidRDefault="00000000" w:rsidRPr="00000000" w14:paraId="000000AC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Saper utilizzare gli attrezzi da lavoro sia in azienda agraria che in laboratorio</w:t>
            </w:r>
          </w:p>
        </w:tc>
        <w:tc>
          <w:tcPr/>
          <w:p w:rsidR="00000000" w:rsidDel="00000000" w:rsidP="00000000" w:rsidRDefault="00000000" w:rsidRPr="00000000" w14:paraId="000000AE">
            <w:pPr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- Osservare, descrivere ed analizzare fenomeni appartenenti alla realtà naturale   e agricola   Raggiungere  le nozioni del “saper stare” in laboratorio indispensabili per “saper operare”</w:t>
            </w:r>
          </w:p>
          <w:p w:rsidR="00000000" w:rsidDel="00000000" w:rsidP="00000000" w:rsidRDefault="00000000" w:rsidRPr="00000000" w14:paraId="000000AF">
            <w:pPr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ind w:left="5664" w:hanging="5664"/>
        <w:jc w:val="right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7" w:w="11905" w:orient="portrait"/>
      <w:pgMar w:bottom="1134" w:top="1134" w:left="1134" w:right="1134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mic Sans MS"/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6146800</wp:posOffset>
              </wp:positionH>
              <wp:positionV relativeFrom="paragraph">
                <wp:posOffset>0</wp:posOffset>
              </wp:positionV>
              <wp:extent cx="85725" cy="191770"/>
              <wp:effectExtent b="0" l="0" r="0" t="0"/>
              <wp:wrapSquare wrapText="bothSides" distB="0" distT="0" distL="114300" distR="114300"/>
              <wp:docPr id="7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6027990" y="3688878"/>
                        <a:ext cx="76200" cy="182245"/>
                      </a:xfrm>
                      <a:custGeom>
                        <a:rect b="b" l="l" r="r" t="t"/>
                        <a:pathLst>
                          <a:path extrusionOk="0" h="182245" w="76200">
                            <a:moveTo>
                              <a:pt x="0" y="0"/>
                            </a:moveTo>
                            <a:lnTo>
                              <a:pt x="0" y="182245"/>
                            </a:lnTo>
                            <a:lnTo>
                              <a:pt x="76200" y="182245"/>
                            </a:lnTo>
                            <a:lnTo>
                              <a:pt x="7620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both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 PAGE 6</w:t>
                          </w:r>
                        </w:p>
                      </w:txbxContent>
                    </wps:txbx>
                    <wps:bodyPr anchorCtr="0" anchor="t" bIns="38100" lIns="0" spcFirstLastPara="1" rIns="0" wrap="square" tIns="381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6146800</wp:posOffset>
              </wp:positionH>
              <wp:positionV relativeFrom="paragraph">
                <wp:posOffset>0</wp:posOffset>
              </wp:positionV>
              <wp:extent cx="85725" cy="191770"/>
              <wp:effectExtent b="0" l="0" r="0" t="0"/>
              <wp:wrapSquare wrapText="bothSides" distB="0" distT="0" distL="114300" distR="114300"/>
              <wp:docPr id="7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725" cy="1917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ind w:left="0" w:firstLine="0"/>
    </w:pPr>
    <w:rPr>
      <w:rFonts w:ascii="Comic Sans MS" w:cs="Comic Sans MS" w:eastAsia="Comic Sans MS" w:hAnsi="Comic Sans MS"/>
      <w:sz w:val="36"/>
      <w:szCs w:val="36"/>
    </w:rPr>
  </w:style>
  <w:style w:type="paragraph" w:styleId="Heading3">
    <w:name w:val="heading 3"/>
    <w:basedOn w:val="Normal"/>
    <w:next w:val="Normal"/>
    <w:pPr>
      <w:keepNext w:val="1"/>
      <w:jc w:val="left"/>
    </w:pPr>
    <w:rPr>
      <w:rFonts w:ascii="Comic Sans MS" w:cs="Comic Sans MS" w:eastAsia="Comic Sans MS" w:hAnsi="Comic Sans MS"/>
      <w:u w:val="singl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spacing w:line="360" w:lineRule="auto"/>
      <w:ind w:left="0" w:firstLine="0"/>
      <w:jc w:val="center"/>
    </w:pPr>
    <w:rPr>
      <w:rFonts w:ascii="Comic Sans MS" w:cs="Comic Sans MS" w:eastAsia="Comic Sans MS" w:hAnsi="Comic Sans MS"/>
      <w:sz w:val="48"/>
      <w:szCs w:val="48"/>
    </w:rPr>
  </w:style>
  <w:style w:type="paragraph" w:styleId="Heading6">
    <w:name w:val="heading 6"/>
    <w:basedOn w:val="Normal"/>
    <w:next w:val="Normal"/>
    <w:pPr>
      <w:spacing w:after="60" w:before="240" w:lineRule="auto"/>
      <w:jc w:val="left"/>
    </w:pPr>
    <w:rPr>
      <w:rFonts w:ascii="Calibri" w:cs="Calibri" w:eastAsia="Calibri" w:hAnsi="Calibri"/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511C8E"/>
    <w:pPr>
      <w:suppressAutoHyphens w:val="1"/>
      <w:jc w:val="both"/>
    </w:pPr>
    <w:rPr>
      <w:rFonts w:ascii="Times New Roman" w:eastAsia="Times New Roman" w:hAnsi="Times New Roman"/>
      <w:sz w:val="24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 w:val="1"/>
    <w:rsid w:val="00511C8E"/>
    <w:pPr>
      <w:keepNext w:val="1"/>
      <w:numPr>
        <w:ilvl w:val="1"/>
        <w:numId w:val="1"/>
      </w:numPr>
      <w:outlineLvl w:val="1"/>
    </w:pPr>
    <w:rPr>
      <w:rFonts w:ascii="Comic Sans MS" w:hAnsi="Comic Sans MS"/>
      <w:sz w:val="36"/>
    </w:rPr>
  </w:style>
  <w:style w:type="paragraph" w:styleId="Titolo3">
    <w:name w:val="heading 3"/>
    <w:basedOn w:val="Normale"/>
    <w:next w:val="Normale"/>
    <w:link w:val="Titolo3Carattere"/>
    <w:uiPriority w:val="99"/>
    <w:qFormat w:val="1"/>
    <w:rsid w:val="00937C9A"/>
    <w:pPr>
      <w:keepNext w:val="1"/>
      <w:tabs>
        <w:tab w:val="num" w:pos="0"/>
      </w:tabs>
      <w:jc w:val="left"/>
      <w:outlineLvl w:val="2"/>
    </w:pPr>
    <w:rPr>
      <w:rFonts w:ascii="Comic Sans MS" w:hAnsi="Comic Sans MS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 w:val="1"/>
    <w:rsid w:val="00511C8E"/>
    <w:pPr>
      <w:keepNext w:val="1"/>
      <w:numPr>
        <w:ilvl w:val="4"/>
        <w:numId w:val="1"/>
      </w:numPr>
      <w:spacing w:line="360" w:lineRule="auto"/>
      <w:jc w:val="center"/>
      <w:outlineLvl w:val="4"/>
    </w:pPr>
    <w:rPr>
      <w:rFonts w:ascii="Comic Sans MS" w:hAnsi="Comic Sans MS"/>
      <w:sz w:val="48"/>
    </w:rPr>
  </w:style>
  <w:style w:type="paragraph" w:styleId="Titolo6">
    <w:name w:val="heading 6"/>
    <w:basedOn w:val="Normale"/>
    <w:next w:val="Normale"/>
    <w:link w:val="Titolo6Carattere"/>
    <w:qFormat w:val="1"/>
    <w:locked w:val="1"/>
    <w:rsid w:val="005D14C7"/>
    <w:pPr>
      <w:suppressAutoHyphens w:val="0"/>
      <w:spacing w:after="60" w:before="240"/>
      <w:jc w:val="left"/>
      <w:outlineLvl w:val="5"/>
    </w:pPr>
    <w:rPr>
      <w:rFonts w:ascii="Calibri" w:hAnsi="Calibri"/>
      <w:b w:val="1"/>
      <w:bCs w:val="1"/>
      <w:sz w:val="22"/>
      <w:szCs w:val="22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2Carattere" w:customStyle="1">
    <w:name w:val="Titolo 2 Carattere"/>
    <w:basedOn w:val="Carpredefinitoparagrafo"/>
    <w:link w:val="Titolo2"/>
    <w:uiPriority w:val="99"/>
    <w:locked w:val="1"/>
    <w:rsid w:val="00511C8E"/>
    <w:rPr>
      <w:rFonts w:ascii="Comic Sans MS" w:cs="Times New Roman" w:hAnsi="Comic Sans MS"/>
      <w:sz w:val="20"/>
      <w:szCs w:val="20"/>
      <w:lang w:bidi="ar-SA" w:eastAsia="ar-SA"/>
    </w:rPr>
  </w:style>
  <w:style w:type="character" w:styleId="Titolo3Carattere" w:customStyle="1">
    <w:name w:val="Titolo 3 Carattere"/>
    <w:basedOn w:val="Carpredefinitoparagrafo"/>
    <w:link w:val="Titolo3"/>
    <w:uiPriority w:val="99"/>
    <w:locked w:val="1"/>
    <w:rsid w:val="00937C9A"/>
    <w:rPr>
      <w:rFonts w:ascii="Comic Sans MS" w:cs="Times New Roman" w:hAnsi="Comic Sans MS"/>
      <w:sz w:val="20"/>
      <w:szCs w:val="20"/>
      <w:u w:val="single"/>
      <w:lang w:bidi="ar-SA" w:eastAsia="ar-SA"/>
    </w:rPr>
  </w:style>
  <w:style w:type="character" w:styleId="Titolo5Carattere" w:customStyle="1">
    <w:name w:val="Titolo 5 Carattere"/>
    <w:basedOn w:val="Carpredefinitoparagrafo"/>
    <w:link w:val="Titolo5"/>
    <w:uiPriority w:val="99"/>
    <w:locked w:val="1"/>
    <w:rsid w:val="00511C8E"/>
    <w:rPr>
      <w:rFonts w:ascii="Comic Sans MS" w:cs="Times New Roman" w:hAnsi="Comic Sans MS"/>
      <w:sz w:val="20"/>
      <w:szCs w:val="20"/>
      <w:lang w:bidi="ar-SA" w:eastAsia="ar-SA"/>
    </w:rPr>
  </w:style>
  <w:style w:type="character" w:styleId="Numeropagina">
    <w:name w:val="page number"/>
    <w:basedOn w:val="Carpredefinitoparagrafo"/>
    <w:uiPriority w:val="99"/>
    <w:rsid w:val="00511C8E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511C8E"/>
    <w:rPr>
      <w:rFonts w:ascii="Times New Roman" w:cs="Times New Roman" w:hAnsi="Times New Roman"/>
      <w:color w:val="0000ff"/>
      <w:spacing w:val="0"/>
      <w:sz w:val="20"/>
      <w:u w:val="single"/>
      <w:lang w:val="it-IT"/>
    </w:rPr>
  </w:style>
  <w:style w:type="paragraph" w:styleId="Corpodeltesto">
    <w:name w:val="Body Text"/>
    <w:basedOn w:val="Normale"/>
    <w:link w:val="CorpodeltestoCarattere"/>
    <w:uiPriority w:val="99"/>
    <w:rsid w:val="00511C8E"/>
    <w:pPr>
      <w:spacing w:line="360" w:lineRule="auto"/>
    </w:pPr>
    <w:rPr>
      <w:i w:val="1"/>
      <w:sz w:val="26"/>
    </w:rPr>
  </w:style>
  <w:style w:type="character" w:styleId="CorpodeltestoCarattere" w:customStyle="1">
    <w:name w:val="Corpo del testo Carattere"/>
    <w:basedOn w:val="Carpredefinitoparagrafo"/>
    <w:link w:val="Corpodeltesto"/>
    <w:uiPriority w:val="99"/>
    <w:locked w:val="1"/>
    <w:rsid w:val="00511C8E"/>
    <w:rPr>
      <w:rFonts w:ascii="Times New Roman" w:cs="Times New Roman" w:hAnsi="Times New Roman"/>
      <w:i w:val="1"/>
      <w:sz w:val="20"/>
      <w:szCs w:val="20"/>
      <w:lang w:bidi="ar-SA" w:eastAsia="ar-SA"/>
    </w:rPr>
  </w:style>
  <w:style w:type="paragraph" w:styleId="Intestazione">
    <w:name w:val="header"/>
    <w:basedOn w:val="Normale"/>
    <w:link w:val="IntestazioneCarattere"/>
    <w:uiPriority w:val="99"/>
    <w:rsid w:val="00511C8E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locked w:val="1"/>
    <w:rsid w:val="00511C8E"/>
    <w:rPr>
      <w:rFonts w:ascii="Times New Roman" w:cs="Times New Roman" w:hAnsi="Times New Roman"/>
      <w:sz w:val="20"/>
      <w:szCs w:val="20"/>
      <w:lang w:bidi="ar-SA" w:eastAsia="ar-SA"/>
    </w:rPr>
  </w:style>
  <w:style w:type="paragraph" w:styleId="Indirizzomittente">
    <w:name w:val="envelope return"/>
    <w:basedOn w:val="Normale"/>
    <w:uiPriority w:val="99"/>
    <w:rsid w:val="00511C8E"/>
    <w:rPr>
      <w:rFonts w:ascii="Arial" w:hAnsi="Arial"/>
      <w:sz w:val="20"/>
    </w:rPr>
  </w:style>
  <w:style w:type="paragraph" w:styleId="Testofumetto">
    <w:name w:val="Balloon Text"/>
    <w:basedOn w:val="Normale"/>
    <w:link w:val="TestofumettoCarattere"/>
    <w:uiPriority w:val="99"/>
    <w:semiHidden w:val="1"/>
    <w:rsid w:val="00511C8E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locked w:val="1"/>
    <w:rsid w:val="00511C8E"/>
    <w:rPr>
      <w:rFonts w:ascii="Tahoma" w:cs="Tahoma" w:hAnsi="Tahoma"/>
      <w:sz w:val="16"/>
      <w:szCs w:val="16"/>
      <w:lang w:bidi="ar-SA" w:eastAsia="ar-SA"/>
    </w:rPr>
  </w:style>
  <w:style w:type="character" w:styleId="Titolo6Carattere" w:customStyle="1">
    <w:name w:val="Titolo 6 Carattere"/>
    <w:basedOn w:val="Carpredefinitoparagrafo"/>
    <w:link w:val="Titolo6"/>
    <w:rsid w:val="005D14C7"/>
    <w:rPr>
      <w:rFonts w:eastAsia="Times New Roman"/>
      <w:b w:val="1"/>
      <w:bCs w:val="1"/>
      <w:sz w:val="22"/>
      <w:szCs w:val="22"/>
    </w:rPr>
  </w:style>
  <w:style w:type="character" w:styleId="Caratterenotadichiusura" w:customStyle="1">
    <w:name w:val="Carattere nota di chiusura"/>
    <w:basedOn w:val="Carpredefinitoparagrafo"/>
    <w:rsid w:val="00DB3756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DB3756"/>
    <w:pPr>
      <w:jc w:val="left"/>
    </w:pPr>
    <w:rPr>
      <w:sz w:val="20"/>
    </w:rPr>
  </w:style>
  <w:style w:type="character" w:styleId="TestonotadichiusuraCarattere" w:customStyle="1">
    <w:name w:val="Testo nota di chiusura Carattere"/>
    <w:basedOn w:val="Carpredefinitoparagrafo"/>
    <w:link w:val="Testonotadichiusura"/>
    <w:rsid w:val="00DB3756"/>
    <w:rPr>
      <w:rFonts w:ascii="Times New Roman" w:eastAsia="Times New Roman" w:hAnsi="Times New Roman"/>
      <w:lang w:eastAsia="ar-SA"/>
    </w:rPr>
  </w:style>
  <w:style w:type="paragraph" w:styleId="Paragrafoelenco">
    <w:name w:val="List Paragraph"/>
    <w:basedOn w:val="Normale"/>
    <w:uiPriority w:val="34"/>
    <w:qFormat w:val="1"/>
    <w:rsid w:val="00E70BAA"/>
    <w:pPr>
      <w:ind w:left="720"/>
      <w:contextualSpacing w:val="1"/>
    </w:pPr>
  </w:style>
  <w:style w:type="paragraph" w:styleId="Default" w:customStyle="1">
    <w:name w:val="Default"/>
    <w:rsid w:val="00442A1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Grigliatabella">
    <w:name w:val="Table Grid"/>
    <w:basedOn w:val="Tabellanormale"/>
    <w:locked w:val="1"/>
    <w:rsid w:val="0085145D"/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idipagina">
    <w:name w:val="footer"/>
    <w:basedOn w:val="Normale"/>
    <w:link w:val="PidipaginaCarattere"/>
    <w:uiPriority w:val="99"/>
    <w:semiHidden w:val="1"/>
    <w:unhideWhenUsed w:val="1"/>
    <w:rsid w:val="00080D71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semiHidden w:val="1"/>
    <w:rsid w:val="00080D71"/>
    <w:rPr>
      <w:rFonts w:ascii="Times New Roman" w:eastAsia="Times New Roman" w:hAnsi="Times New Roman"/>
      <w:sz w:val="24"/>
      <w:lang w:eastAsia="ar-S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EEIgjtz7SFdm2Hg6FdW/HhBHuA==">AMUW2mXtyofbEwQYL08NvnpqBiHOYyUjJAAnltaDeDhX7FEMiwRgcYC8vuhRBLP7GpVspVGI5LTv00dQJwjctGywG6glLeuxRMuZr3QwDeMAeCymneOXTJ0=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2020-02-24T19:20:00Z</dcterms:created>
  <dc:creator>PC Client</dc:creator>
</cp:coreProperties>
</file>