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0.0" w:type="dxa"/>
        <w:jc w:val="left"/>
        <w:tblInd w:w="2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70"/>
        <w:gridCol w:w="6240"/>
        <w:tblGridChange w:id="0">
          <w:tblGrid>
            <w:gridCol w:w="2970"/>
            <w:gridCol w:w="6240"/>
          </w:tblGrid>
        </w:tblGridChange>
      </w:tblGrid>
      <w:tr>
        <w:trPr>
          <w:cantSplit w:val="0"/>
          <w:trHeight w:val="56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2">
            <w:pPr>
              <w:widowControl w:val="0"/>
              <w:spacing w:before="7" w:lineRule="auto"/>
              <w:ind w:left="0" w:right="-2757.40157480314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Modulo 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  <w:rtl w:val="0"/>
              </w:rPr>
              <w:t xml:space="preserve">LEGAMI CHIMICI E COMPOSTI INORGANICI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widowControl w:val="0"/>
              <w:spacing w:before="7" w:line="255" w:lineRule="auto"/>
              <w:ind w:right="846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Competenze</w:t>
            </w:r>
          </w:p>
        </w:tc>
        <w:tc>
          <w:tcPr/>
          <w:p w:rsidR="00000000" w:rsidDel="00000000" w:rsidP="00000000" w:rsidRDefault="00000000" w:rsidRPr="00000000" w14:paraId="00000005">
            <w:pPr>
              <w:widowControl w:val="0"/>
              <w:spacing w:before="7" w:line="255" w:lineRule="auto"/>
              <w:ind w:right="1019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Conoscenze</w:t>
            </w:r>
          </w:p>
        </w:tc>
      </w:tr>
      <w:tr>
        <w:trPr>
          <w:cantSplit w:val="0"/>
          <w:trHeight w:val="4247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widowControl w:val="0"/>
              <w:tabs>
                <w:tab w:val="left" w:pos="1961"/>
              </w:tabs>
              <w:spacing w:before="2" w:line="246.99999999999994" w:lineRule="auto"/>
              <w:ind w:left="107" w:right="96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Osservare, descrivere ed analizzare</w:t>
              <w:tab/>
              <w:t xml:space="preserve">fenomeni appartenenti alla realtà naturale e artificiale e riconoscere nelle varie forme i concetti di sistema e di complessità.</w:t>
            </w:r>
          </w:p>
          <w:p w:rsidR="00000000" w:rsidDel="00000000" w:rsidP="00000000" w:rsidRDefault="00000000" w:rsidRPr="00000000" w14:paraId="00000007">
            <w:pPr>
              <w:widowControl w:val="0"/>
              <w:tabs>
                <w:tab w:val="left" w:pos="1149"/>
              </w:tabs>
              <w:spacing w:before="1" w:lineRule="auto"/>
              <w:ind w:left="107" w:right="96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Analizzare qualitativamente e</w:t>
              <w:tab/>
              <w:t xml:space="preserve">quantitativamente fenomeni legati alle trasformazioni di energia a partire dall'esperienza.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widowControl w:val="0"/>
              <w:spacing w:before="2" w:line="246.99999999999994" w:lineRule="auto"/>
              <w:ind w:left="107" w:right="5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Gli elettroni di valenza e le rappresentazioni di Lewis. La regola dell'ottetto. I legami chimici: legame covalente, legame ionico, legame metallico. Le interazioni intermolecolari: dipolo-dipolo, forze di London e legame a idrogeno. Valenza e numero di ossidazione. Classificazione e nomenclatura degli ossidi, idrossidi, acidi, idracidi e sali. Nomenclatura IUPAC</w:t>
            </w:r>
          </w:p>
        </w:tc>
      </w:tr>
      <w:tr>
        <w:trPr>
          <w:cantSplit w:val="0"/>
          <w:trHeight w:val="849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9">
            <w:pPr>
              <w:widowControl w:val="0"/>
              <w:spacing w:before="3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ind w:left="0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Modulo 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  <w:rtl w:val="0"/>
              </w:rPr>
              <w:t xml:space="preserve">IL GOVERNO DELLE TRASFORMAZIONI CHIMICHE</w:t>
            </w:r>
          </w:p>
        </w:tc>
      </w:tr>
      <w:tr>
        <w:trPr>
          <w:cantSplit w:val="0"/>
          <w:trHeight w:val="282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widowControl w:val="0"/>
              <w:spacing w:before="7" w:line="255" w:lineRule="auto"/>
              <w:ind w:right="846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Competenze</w:t>
            </w:r>
          </w:p>
        </w:tc>
        <w:tc>
          <w:tcPr/>
          <w:p w:rsidR="00000000" w:rsidDel="00000000" w:rsidP="00000000" w:rsidRDefault="00000000" w:rsidRPr="00000000" w14:paraId="0000000D">
            <w:pPr>
              <w:widowControl w:val="0"/>
              <w:spacing w:before="7" w:line="255" w:lineRule="auto"/>
              <w:ind w:right="1019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Conoscenze</w:t>
            </w:r>
          </w:p>
        </w:tc>
      </w:tr>
      <w:tr>
        <w:trPr>
          <w:cantSplit w:val="0"/>
          <w:trHeight w:val="6513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widowControl w:val="0"/>
              <w:tabs>
                <w:tab w:val="left" w:pos="1927"/>
              </w:tabs>
              <w:spacing w:before="2" w:line="246.99999999999994" w:lineRule="auto"/>
              <w:ind w:left="141" w:right="130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Osservare, descrivere e sperimentare che le reazioni coinvolgono sempre scambi di energia con l'ambiente (ceduta o acquistata).</w:t>
            </w:r>
          </w:p>
          <w:p w:rsidR="00000000" w:rsidDel="00000000" w:rsidP="00000000" w:rsidRDefault="00000000" w:rsidRPr="00000000" w14:paraId="0000000F">
            <w:pPr>
              <w:widowControl w:val="0"/>
              <w:tabs>
                <w:tab w:val="left" w:pos="1470"/>
                <w:tab w:val="left" w:pos="2209"/>
                <w:tab w:val="left" w:pos="2726"/>
              </w:tabs>
              <w:spacing w:line="246.99999999999994" w:lineRule="auto"/>
              <w:ind w:left="141" w:right="13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Analizzare qualitativamente</w:t>
              <w:tab/>
              <w:tab/>
              <w:t xml:space="preserve">e quantitativamente fenomeni legati alle trasformazioni di energia</w:t>
              <w:tab/>
              <w:t xml:space="preserve">a</w:t>
              <w:tab/>
              <w:t xml:space="preserve">partire dall'esperienza.</w:t>
            </w:r>
          </w:p>
        </w:tc>
        <w:tc>
          <w:tcPr/>
          <w:p w:rsidR="00000000" w:rsidDel="00000000" w:rsidP="00000000" w:rsidRDefault="00000000" w:rsidRPr="00000000" w14:paraId="00000010">
            <w:pPr>
              <w:widowControl w:val="0"/>
              <w:spacing w:before="2" w:line="246.99999999999994" w:lineRule="auto"/>
              <w:ind w:left="107" w:right="5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Reazioni chimiche. Il bilanciamento di una reazione chimica. Tipi di reazione chimica: sintesi, decomposizione, scambio o sostituzione semplice, doppio scambio o sostituzione doppia, combustione. Semplici calcoli stechiometrici. Le soluzioni. La solubilità. Concentrazione delle soluzioni. Le proprietà colligative: innalzamento ebullioscopico, abbassamento crioscopico, pressione osmotica</w:t>
            </w:r>
          </w:p>
        </w:tc>
      </w:tr>
    </w:tbl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85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58"/>
        <w:gridCol w:w="2825"/>
        <w:gridCol w:w="4171"/>
        <w:tblGridChange w:id="0">
          <w:tblGrid>
            <w:gridCol w:w="2858"/>
            <w:gridCol w:w="2825"/>
            <w:gridCol w:w="4171"/>
          </w:tblGrid>
        </w:tblGridChange>
      </w:tblGrid>
      <w:tr>
        <w:trPr>
          <w:cantSplit w:val="0"/>
          <w:trHeight w:val="84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13">
            <w:pPr>
              <w:widowControl w:val="0"/>
              <w:spacing w:before="11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ind w:left="1725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Modulo 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  <w:rtl w:val="0"/>
              </w:rPr>
              <w:t xml:space="preserve">REAZIONI ACIDO-BASE E REAZIONI REDOX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widowControl w:val="0"/>
              <w:spacing w:before="4" w:line="259" w:lineRule="auto"/>
              <w:ind w:left="856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Competenze</w:t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spacing w:before="4" w:line="259" w:lineRule="auto"/>
              <w:ind w:left="928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Abilità/ capacità</w:t>
            </w:r>
          </w:p>
        </w:tc>
        <w:tc>
          <w:tcPr/>
          <w:p w:rsidR="00000000" w:rsidDel="00000000" w:rsidP="00000000" w:rsidRDefault="00000000" w:rsidRPr="00000000" w14:paraId="00000019">
            <w:pPr>
              <w:widowControl w:val="0"/>
              <w:spacing w:before="4" w:line="259" w:lineRule="auto"/>
              <w:ind w:left="1029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Conoscenze</w:t>
            </w:r>
          </w:p>
        </w:tc>
      </w:tr>
      <w:tr>
        <w:trPr>
          <w:cantSplit w:val="0"/>
          <w:trHeight w:val="2528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widowControl w:val="0"/>
              <w:tabs>
                <w:tab w:val="left" w:pos="1470"/>
                <w:tab w:val="left" w:pos="2209"/>
                <w:tab w:val="left" w:pos="2726"/>
              </w:tabs>
              <w:spacing w:line="246.99999999999994" w:lineRule="auto"/>
              <w:ind w:left="141" w:right="13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Distinguere un'ossidazione da una riduzione ed entrambe da una reazione redox.</w:t>
            </w:r>
          </w:p>
          <w:p w:rsidR="00000000" w:rsidDel="00000000" w:rsidP="00000000" w:rsidRDefault="00000000" w:rsidRPr="00000000" w14:paraId="0000001B">
            <w:pPr>
              <w:widowControl w:val="0"/>
              <w:tabs>
                <w:tab w:val="left" w:pos="1470"/>
                <w:tab w:val="left" w:pos="2209"/>
                <w:tab w:val="left" w:pos="2726"/>
              </w:tabs>
              <w:spacing w:line="246.99999999999994" w:lineRule="auto"/>
              <w:ind w:left="141" w:right="13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Bilanciare un'ossidoriduzione in forma ionica con il metodo delle semireazioni.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widowControl w:val="0"/>
              <w:spacing w:line="246.99999999999994" w:lineRule="auto"/>
              <w:ind w:left="107" w:right="303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Definire e riconoscere una reazione di ossidazione o di riduzione. 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6.99999999999994" w:lineRule="auto"/>
              <w:ind w:left="107" w:right="303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Definire l'elettrolisi.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6.99999999999994" w:lineRule="auto"/>
              <w:ind w:left="107" w:right="303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Definire e spiegare il funzionamento di una pila.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widowControl w:val="0"/>
              <w:spacing w:line="246.99999999999994" w:lineRule="auto"/>
              <w:ind w:left="107" w:right="5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Reazioni acido-base. La ionizzazione dell'acqua. Il prodotto ionico dell'acqua. Acidi e basi. Il pH. Reazioni redox e loro bilanciamento. Elettrochimica. Celle galvaniche: la pila Daniel. Le celle elettrolitiche e le celle reversibili. Smaltimento delle pile. </w:t>
            </w:r>
          </w:p>
        </w:tc>
      </w:tr>
      <w:tr>
        <w:trPr>
          <w:cantSplit w:val="0"/>
          <w:trHeight w:val="84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0">
            <w:pPr>
              <w:widowControl w:val="0"/>
              <w:spacing w:before="11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ind w:left="1677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Modulo 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  <w:rtl w:val="0"/>
              </w:rPr>
              <w:t xml:space="preserve"> LA CHIMICA DEL CARBONIO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widowControl w:val="0"/>
              <w:spacing w:before="4" w:line="259" w:lineRule="auto"/>
              <w:ind w:left="938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Competenze</w:t>
            </w:r>
          </w:p>
        </w:tc>
        <w:tc>
          <w:tcPr/>
          <w:p w:rsidR="00000000" w:rsidDel="00000000" w:rsidP="00000000" w:rsidRDefault="00000000" w:rsidRPr="00000000" w14:paraId="00000025">
            <w:pPr>
              <w:widowControl w:val="0"/>
              <w:spacing w:before="4" w:line="259" w:lineRule="auto"/>
              <w:ind w:left="7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Abilità/ capacità</w:t>
            </w:r>
          </w:p>
        </w:tc>
        <w:tc>
          <w:tcPr/>
          <w:p w:rsidR="00000000" w:rsidDel="00000000" w:rsidP="00000000" w:rsidRDefault="00000000" w:rsidRPr="00000000" w14:paraId="00000026">
            <w:pPr>
              <w:widowControl w:val="0"/>
              <w:spacing w:before="4" w:line="259" w:lineRule="auto"/>
              <w:ind w:left="109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Conoscenze</w:t>
            </w:r>
          </w:p>
        </w:tc>
      </w:tr>
      <w:tr>
        <w:trPr>
          <w:cantSplit w:val="0"/>
          <w:trHeight w:val="535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27">
            <w:pPr>
              <w:widowControl w:val="0"/>
              <w:tabs>
                <w:tab w:val="left" w:pos="1472"/>
                <w:tab w:val="left" w:pos="2767"/>
              </w:tabs>
              <w:spacing w:line="267" w:lineRule="auto"/>
              <w:ind w:left="141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Riconoscere i composti organici dal gruppo funzionale.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widowControl w:val="0"/>
              <w:spacing w:line="267" w:lineRule="auto"/>
              <w:ind w:left="26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Descrivere e riconoscere le costruzioni degli orbitali ibridi dell'atomo di carbonio e la struttura delle molecole organiche.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67" w:lineRule="auto"/>
              <w:ind w:left="26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Spiegare come si formano i legami singoli, doppi e tripli e la loro energia.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67" w:lineRule="auto"/>
              <w:ind w:left="26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Classificare i composti organici in base alla struttura carboniosa e ai gruppi funzionali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widowControl w:val="0"/>
              <w:spacing w:line="267" w:lineRule="auto"/>
              <w:ind w:left="10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 particolari proprietà dell'atomo di carbonio. Il carbonio nei composti organici: utilizzo degli orbitali ibridi per formare legami. Le strutture molecolari. I gruppi funzionali.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widowControl w:val="0"/>
              <w:spacing w:line="259" w:lineRule="auto"/>
              <w:ind w:left="141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widowControl w:val="0"/>
              <w:spacing w:line="259" w:lineRule="auto"/>
              <w:ind w:left="26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widowControl w:val="0"/>
              <w:spacing w:line="259" w:lineRule="auto"/>
              <w:ind w:left="10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CHIMICA II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AC01C3"/>
    <w:rPr>
      <w:rFonts w:eastAsiaTheme="minorEastAsia"/>
      <w:lang w:eastAsia="ko-KR" w:val="en-US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Grigliatabella">
    <w:name w:val="Table Grid"/>
    <w:basedOn w:val="Tabellanormale"/>
    <w:rsid w:val="00AC01C3"/>
    <w:pPr>
      <w:spacing w:after="0" w:line="240" w:lineRule="auto"/>
    </w:pPr>
    <w:rPr>
      <w:rFonts w:eastAsiaTheme="minorEastAsia"/>
      <w:lang w:eastAsia="ko-KR" w:val="en-US"/>
    </w:rPr>
    <w:tblPr>
      <w:tblInd w:w="0.0" w:type="dxa"/>
      <w:tblBorders>
        <w:top w:color="000000" w:space="0" w:sz="1" w:val="single"/>
        <w:left w:color="000000" w:space="0" w:sz="1" w:val="single"/>
        <w:bottom w:color="000000" w:space="0" w:sz="1" w:val="single"/>
        <w:right w:color="000000" w:space="0" w:sz="1" w:val="single"/>
        <w:insideH w:color="000000" w:space="0" w:sz="1" w:val="single"/>
        <w:insideV w:color="000000" w:space="0" w:sz="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Intestazione">
    <w:name w:val="header"/>
    <w:basedOn w:val="Normale"/>
    <w:link w:val="IntestazioneCarattere"/>
    <w:uiPriority w:val="99"/>
    <w:semiHidden w:val="1"/>
    <w:unhideWhenUsed w:val="1"/>
    <w:rsid w:val="00AC01C3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semiHidden w:val="1"/>
    <w:rsid w:val="00AC01C3"/>
    <w:rPr>
      <w:rFonts w:eastAsiaTheme="minorEastAsia"/>
      <w:lang w:eastAsia="ko-KR" w:val="en-US"/>
    </w:rPr>
  </w:style>
  <w:style w:type="paragraph" w:styleId="Pidipagina">
    <w:name w:val="footer"/>
    <w:basedOn w:val="Normale"/>
    <w:link w:val="PidipaginaCarattere"/>
    <w:uiPriority w:val="99"/>
    <w:semiHidden w:val="1"/>
    <w:unhideWhenUsed w:val="1"/>
    <w:rsid w:val="00AC01C3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semiHidden w:val="1"/>
    <w:rsid w:val="00AC01C3"/>
    <w:rPr>
      <w:rFonts w:eastAsiaTheme="minorEastAsia"/>
      <w:lang w:eastAsia="ko-KR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Z4md19wyaDSHt1Vyv02KR4xipg==">AMUW2mVqR+r/sgrDg35k07EYogYy1QvtXGwnyby1zNp0IlAXPDHt8WTHxhy43xdgceEqpA+PQVzcdB9Ji1HgwJ7wj7EOh8HdjTy6FL+n/AOb+6Uun8rOoLc=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2022-02-20T20:29:00Z</dcterms:created>
  <dc:creator>Irene</dc:creator>
</cp:coreProperties>
</file>