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1.0" w:type="dxa"/>
        <w:jc w:val="left"/>
        <w:tblInd w:w="0.0" w:type="dxa"/>
        <w:tblLayout w:type="fixed"/>
        <w:tblLook w:val="0000"/>
      </w:tblPr>
      <w:tblGrid>
        <w:gridCol w:w="9851"/>
        <w:tblGridChange w:id="0">
          <w:tblGrid>
            <w:gridCol w:w="9851"/>
          </w:tblGrid>
        </w:tblGridChange>
      </w:tblGrid>
      <w:tr>
        <w:trPr>
          <w:cantSplit w:val="1"/>
          <w:trHeight w:val="542" w:hRule="atLeast"/>
          <w:tblHeader w:val="0"/>
        </w:trPr>
        <w:tc>
          <w:tcPr>
            <w:shd w:fill="d8d8d8" w:val="clear"/>
            <w:vAlign w:val="center"/>
          </w:tcPr>
          <w:p w:rsidR="00000000" w:rsidDel="00000000" w:rsidP="00000000" w:rsidRDefault="00000000" w:rsidRPr="00000000" w14:paraId="00000002">
            <w:pPr>
              <w:pStyle w:val="Heading5"/>
              <w:numPr>
                <w:ilvl w:val="4"/>
                <w:numId w:val="1"/>
              </w:numPr>
              <w:tabs>
                <w:tab w:val="left" w:pos="0"/>
              </w:tabs>
              <w:spacing w:line="240" w:lineRule="auto"/>
              <w:ind w:left="0" w:firstLine="0"/>
              <w:rPr>
                <w:rFonts w:ascii="Arial" w:cs="Arial" w:eastAsia="Arial" w:hAnsi="Arial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Contenuti disciplinari </w:t>
            </w:r>
          </w:p>
        </w:tc>
      </w:tr>
    </w:tbl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n°1: Arboricoltura generale. </w:t>
      </w:r>
    </w:p>
    <w:p w:rsidR="00000000" w:rsidDel="00000000" w:rsidP="00000000" w:rsidRDefault="00000000" w:rsidRPr="00000000" w14:paraId="00000005">
      <w:pPr>
        <w:ind w:left="1134" w:hanging="1134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La propagazione delle piante, propagazione gamica o sessuata, la propagazione agamica, applicazione dei principali metodi di propagazione;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l’impianto del frutteto: scelta del materiale da impiantare;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il vivaismo fruttifero;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preparazione del terreno e scelta del sesto di impianto;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3znysh7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la propagazione dei fruttiferi;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6: le forme di allevamento;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7: la potatura di produzione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8: cure colturali.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MODULO n°2: Viticoltura. 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cenni botanici, la vite coltivata, il vivaismo viticolo ed i portainnesti;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i problemi della fillossera, i vivai di vite, cenni di fisiologia della pianta;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impianto del vigneto, sostegni per il vigneto;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principali sistemi di allevamento della vite;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cure colturali, la potatura verde, la fertilizzazione;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6: le lavorazioni, la raccolta;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tyjcwt" w:id="2"/>
      <w:bookmarkEnd w:id="2"/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rtl w:val="0"/>
        </w:rPr>
        <w:t xml:space="preserve">U.D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. n° 7: le avversità della vite, difesa della vite;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3dy6vkm" w:id="3"/>
      <w:bookmarkEnd w:id="3"/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rtl w:val="0"/>
        </w:rPr>
        <w:t xml:space="preserve">U.D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. n° 8: uve da tavola, l’impianto del tendone: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rtl w:val="0"/>
        </w:rPr>
        <w:t xml:space="preserve">U.D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. n° 9: i metodi di vinificazione delle uve.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n°3: Olivicoltura -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caratteristiche botaniche ed esigenze pedoclimatiche;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propagazione dell’olivo, il vivaismo olivicolo;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l’impianto dell’uliveto e le forme di allevamento;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cure colturali, potatura di allevamento, potatura di produzione, potatura meccanica;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gestione del terreno e concimazione;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6: principali malattie dell’olivo e metodi di controllo;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7: principali cultivar diffuse in Italia;</w:t>
      </w:r>
    </w:p>
    <w:p w:rsidR="00000000" w:rsidDel="00000000" w:rsidP="00000000" w:rsidRDefault="00000000" w:rsidRPr="00000000" w14:paraId="00000021">
      <w:pPr>
        <w:ind w:left="993" w:hanging="993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8: La raccolta delle olive, raccolta agevolata e relative macchine, raccolta meccanizzata e tipologie di macchine;</w:t>
      </w:r>
    </w:p>
    <w:p w:rsidR="00000000" w:rsidDel="00000000" w:rsidP="00000000" w:rsidRDefault="00000000" w:rsidRPr="00000000" w14:paraId="00000022">
      <w:pPr>
        <w:ind w:left="993" w:hanging="993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9: metodi di lavorazione delle olive per l’estrazione dell’olio.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n°4: Gli agrumi - 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cenni botanici, esigenze pedoclimatiche;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4d34og8" w:id="4"/>
      <w:bookmarkEnd w:id="4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il vivaismo agrumicolo, principali portainnesti utilizzati, principali cultivar di arancio mandarino e limone;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gli agrumi minori di importanza industriale ed ornamentale;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forme di allevamento, sesto di impianto;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l’impianto dell’agrumeto;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6: cure colturali, principali malattie degli agrumi.</w:t>
      </w:r>
    </w:p>
    <w:p w:rsidR="00000000" w:rsidDel="00000000" w:rsidP="00000000" w:rsidRDefault="00000000" w:rsidRPr="00000000" w14:paraId="0000002B">
      <w:pPr>
        <w:ind w:left="5664" w:firstLine="0"/>
        <w:rPr>
          <w:rFonts w:ascii="Caveat" w:cs="Caveat" w:eastAsia="Caveat" w:hAnsi="Caveat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6837" w:w="11905" w:orient="portrait"/>
      <w:pgMar w:bottom="1134" w:top="1134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Times New Roman"/>
  <w:font w:name="Caveat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07900" y="3688878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3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5" cy="191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Titolo3Carattere" w:customStyle="1">
    <w:name w:val="Titolo 3 Carattere"/>
    <w:basedOn w:val="Carpredefinitoparagrafo"/>
    <w:link w:val="Titolo3"/>
    <w:uiPriority w:val="99"/>
    <w:locked w:val="1"/>
    <w:rsid w:val="00937C9A"/>
    <w:rPr>
      <w:rFonts w:ascii="Comic Sans MS" w:cs="Times New Roman" w:hAnsi="Comic Sans MS"/>
      <w:sz w:val="20"/>
      <w:szCs w:val="20"/>
      <w:u w:val="single"/>
      <w:lang w:bidi="ar-SA"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cs="Times New Roman" w:hAnsi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 w:val="1"/>
      <w:sz w:val="26"/>
    </w:rPr>
  </w:style>
  <w:style w:type="character" w:styleId="CorpotestoCarattere" w:customStyle="1">
    <w:name w:val="Corpo testo Carattere"/>
    <w:basedOn w:val="Carpredefinitoparagrafo"/>
    <w:link w:val="Corpotesto"/>
    <w:uiPriority w:val="99"/>
    <w:locked w:val="1"/>
    <w:rsid w:val="00511C8E"/>
    <w:rPr>
      <w:rFonts w:ascii="Times New Roman" w:cs="Times New Roman" w:hAnsi="Times New Roman"/>
      <w:i w:val="1"/>
      <w:sz w:val="20"/>
      <w:szCs w:val="20"/>
      <w:lang w:bidi="ar-SA" w:eastAsia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 w:val="1"/>
    <w:rsid w:val="00511C8E"/>
    <w:rPr>
      <w:rFonts w:ascii="Times New Roman" w:cs="Times New Roman" w:hAnsi="Times New Roman"/>
      <w:sz w:val="20"/>
      <w:szCs w:val="20"/>
      <w:lang w:bidi="ar-SA" w:eastAsia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locked w:val="1"/>
    <w:rsid w:val="00511C8E"/>
    <w:rPr>
      <w:rFonts w:ascii="Tahoma" w:cs="Tahoma" w:hAnsi="Tahoma"/>
      <w:sz w:val="16"/>
      <w:szCs w:val="16"/>
      <w:lang w:bidi="ar-SA"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hipxME4EJq83ax5UhZG42P/Qg==">AMUW2mW6O3Y83t/PTwQcSywtFqHjYQlI50S2VvZafmIaS7rkYdZDD3+GQoPzzHVcjNEWff1FrCd84HimOOiuRdzP+Guh1Kjz1L7SjHWqJD9l5ksa5xai3Rt1WaYzZT3v7cX6K5oun9NgKYmIcBt6nVUcMymWBx2brWZ82XGGddJr72N0URYjufPu6iNR5IIwmZVQ38s1GnpT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2019-10-22T06:32:00Z</dcterms:created>
  <dc:creator>PC Client</dc:creator>
</cp:coreProperties>
</file>